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Ежеквартальный отчет о принятых диссертационными советами решениях по присуждению (отказе в присуждении) степеней доктора философии (PhD), доктора по профилю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28.000000000002" w:type="dxa"/>
        <w:jc w:val="left"/>
        <w:tblInd w:w="-2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8"/>
        <w:gridCol w:w="1263"/>
        <w:gridCol w:w="1113"/>
        <w:gridCol w:w="851"/>
        <w:gridCol w:w="20"/>
        <w:gridCol w:w="1113"/>
        <w:gridCol w:w="1843"/>
        <w:gridCol w:w="2410"/>
        <w:gridCol w:w="2693"/>
        <w:gridCol w:w="992"/>
        <w:gridCol w:w="1843"/>
        <w:gridCol w:w="969"/>
        <w:tblGridChange w:id="0">
          <w:tblGrid>
            <w:gridCol w:w="318"/>
            <w:gridCol w:w="1263"/>
            <w:gridCol w:w="1113"/>
            <w:gridCol w:w="851"/>
            <w:gridCol w:w="20"/>
            <w:gridCol w:w="1113"/>
            <w:gridCol w:w="1843"/>
            <w:gridCol w:w="2410"/>
            <w:gridCol w:w="2693"/>
            <w:gridCol w:w="992"/>
            <w:gridCol w:w="1843"/>
            <w:gridCol w:w="969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3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Ф.И.О. (при его наличии)) докторанта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 рождения</w:t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Период обучения в докторантуре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ВУЗ, в котором обучался докторант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диссертации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Научные консультанты ((Ф.И.О. (при его наличии)), степень, место работы)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Официальные рецензенты ((Ф.И.О. (при его наличии)), степень, место работы)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защиты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Принятое решение диссертационного совета и апелляционной комиссии (при наличии)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диплома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0F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1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1B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Диссертационный совет по группе специальностей «6D020600, 8D02203 – Религиоведение», «6D021500, 8D02204 – Исламоведение», «6D020400, 8D03102– Культурология», «6D020100, 8D02202– Философия»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Иманмолдаева Бақыттыжамал Заманханқызы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15.10.1971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2017-2020</w:t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КазНУ им.аль-Фараби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Феномен преемственности поколений как важный фактор сохранения национальной идентичности: социально-философский анализ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”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 Кабаева Жулдыз Абдыкаримовна – доктор философских наук, профессор кафедры политологии и социально-философских дисциплин КазНПУ им. Абая. (г. Алматы, Казахстан);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Шахин Филиз – доктор философии (PhD), профессор университета  Актениз (г. Анталия, Турция).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tabs>
                <w:tab w:val="left" w:leader="none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Халыков Кабыл Заманбекович – Проректор по научной работе Казахской национальной академии искусств имени Т.К. Жургенова, доктор философских наук, профессор. Специальность: 09.00.13 – Религиоведение, философская антропология и философия культуры (г. Алматы, Казахстан);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hd w:fill="ffffff" w:val="clear"/>
              <w:tabs>
                <w:tab w:val="left" w:leader="none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Аубакирова Салтанат Советовна – доктор философии (PhD), директор департамента молодежной политики и социальных вопросов, ассоциированный профессор кафедры философии и социально-гуманитарных дисциплин Toraighyrov University (г. Павлодар, Казахстан). Специальность: «6D020400 - Культурология» (г. Павлодар, Казахстан).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15.03.2024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Присуждение степени доктора философии (PhD) по специальности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6D020100 – Философия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Регистрационный номер 258, приказ № 1651-б/а от 15.03.2024 г.</w:t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77Ne6BUBnxbT3UqlZNRFMoEt/Q==">CgMxLjAyCWlkLmdqZGd4czIKaWQuMzBqMHpsbDIKaWQuMWZvYjl0ZTgAciExY09pOGdac3Z6d2lpZXF0aWJWTTBNVU5kX1hWLTNBQ1U=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2024-01-06T23:03:00Z</dcterms:created>
</cp:coreProperties>
</file>